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91E45" w14:textId="25D7D704" w:rsidR="002C05BB" w:rsidRPr="00FF3B13" w:rsidRDefault="009D6D4A" w:rsidP="002C05BB">
      <w:pPr>
        <w:pStyle w:val="H01Mainhead1"/>
        <w:spacing w:after="120"/>
        <w:rPr>
          <w:color w:val="E46F2A"/>
        </w:rPr>
      </w:pPr>
      <w:r w:rsidRPr="00FF3B13">
        <w:rPr>
          <w:color w:val="E46F2A"/>
        </w:rPr>
        <w:t xml:space="preserve">EAL </w:t>
      </w:r>
      <w:r w:rsidR="002C05BB" w:rsidRPr="00FF3B13">
        <w:rPr>
          <w:color w:val="E46F2A"/>
        </w:rPr>
        <w:t>activities</w:t>
      </w:r>
    </w:p>
    <w:p w14:paraId="70107DF8" w14:textId="5B6E6976" w:rsidR="00EE633B" w:rsidRPr="004F2F25" w:rsidRDefault="004D5B76" w:rsidP="001A5C25">
      <w:pPr>
        <w:pStyle w:val="H01Mainhead1"/>
        <w:rPr>
          <w:rFonts w:ascii="Tahoma" w:eastAsia="Tahoma" w:hAnsi="Tahoma" w:cs="Tahoma"/>
          <w:b w:val="0"/>
          <w:bCs w:val="0"/>
          <w:color w:val="E46F2A"/>
          <w:sz w:val="36"/>
          <w:szCs w:val="36"/>
        </w:rPr>
      </w:pPr>
      <w:r w:rsidRPr="004F2F25">
        <w:rPr>
          <w:rFonts w:ascii="Tahoma" w:eastAsia="Tahoma" w:hAnsi="Tahoma" w:cs="Tahoma"/>
          <w:b w:val="0"/>
          <w:bCs w:val="0"/>
          <w:color w:val="E46F2A"/>
          <w:sz w:val="36"/>
          <w:szCs w:val="36"/>
        </w:rPr>
        <w:t>Jigsaw reading</w:t>
      </w:r>
    </w:p>
    <w:p w14:paraId="79291C1B" w14:textId="77777777" w:rsidR="004D5B76" w:rsidRPr="00116F97" w:rsidRDefault="004D5B76" w:rsidP="004D5B76">
      <w:pPr>
        <w:pStyle w:val="HBhead"/>
        <w:rPr>
          <w:rFonts w:asciiTheme="majorHAnsi" w:eastAsiaTheme="majorEastAsia" w:hAnsiTheme="majorHAnsi" w:cstheme="majorBidi"/>
          <w:color w:val="E46F2A"/>
          <w:sz w:val="32"/>
          <w:szCs w:val="32"/>
          <w:lang w:val="en-US" w:bidi="th-TH"/>
        </w:rPr>
      </w:pPr>
      <w:r w:rsidRPr="00116F97">
        <w:rPr>
          <w:rFonts w:asciiTheme="majorHAnsi" w:eastAsiaTheme="majorEastAsia" w:hAnsiTheme="majorHAnsi" w:cstheme="majorBidi"/>
          <w:color w:val="E46F2A"/>
          <w:sz w:val="32"/>
          <w:szCs w:val="32"/>
          <w:lang w:val="en-US" w:bidi="th-TH"/>
        </w:rPr>
        <w:t>Jigsaw cards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777"/>
      </w:tblGrid>
      <w:tr w:rsidR="004D5B76" w:rsidRPr="000651F5" w14:paraId="006F6343" w14:textId="77777777" w:rsidTr="00EE633B">
        <w:trPr>
          <w:trHeight w:val="2568"/>
        </w:trPr>
        <w:tc>
          <w:tcPr>
            <w:tcW w:w="8777" w:type="dxa"/>
          </w:tcPr>
          <w:p w14:paraId="2F9E6AD9" w14:textId="0CED2FD6" w:rsidR="00393682" w:rsidRDefault="00393682" w:rsidP="001A5C25">
            <w:pPr>
              <w:pStyle w:val="BT01Bodytext1"/>
              <w:jc w:val="center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GROUP A</w:t>
            </w:r>
          </w:p>
          <w:p w14:paraId="7E472C36" w14:textId="7C60FB87" w:rsidR="00EE633B" w:rsidRPr="00EE633B" w:rsidRDefault="00EE633B" w:rsidP="00FF3B13">
            <w:pPr>
              <w:pStyle w:val="BT01Bodytext1"/>
              <w:spacing w:before="120"/>
              <w:rPr>
                <w:rFonts w:cs="Times New Roman"/>
                <w:lang w:val="en-GB"/>
              </w:rPr>
            </w:pPr>
            <w:r w:rsidRPr="00EE633B">
              <w:rPr>
                <w:rFonts w:cs="Times New Roman"/>
                <w:b/>
                <w:lang w:val="en-GB"/>
              </w:rPr>
              <w:t xml:space="preserve">Capital expenditure </w:t>
            </w:r>
            <w:r w:rsidRPr="00EE633B">
              <w:rPr>
                <w:rFonts w:cs="Times New Roman"/>
                <w:lang w:val="en-GB"/>
              </w:rPr>
              <w:t>is the amount spent by a business to acquire, improve or extend the life of non-current assets such as property, equipment and machinery. It is non-recurring by nature and is recorded in the statement of financial position of a business. New projects or investments undertaken by a business are treated as capital expenditure as they increase the efficiency and scope of the business to earn more profits. Capital-intensive businesses have some of the highest levels of capital expenditure. Examples of capital-intensive businesses are those concerned with telecommunications, large-scale manufacturing and oil exploration, to name a few.</w:t>
            </w:r>
          </w:p>
          <w:p w14:paraId="54955875" w14:textId="5643BB16" w:rsidR="004D5B76" w:rsidRPr="00EE633B" w:rsidRDefault="00EE633B" w:rsidP="00FF3B13">
            <w:pPr>
              <w:pStyle w:val="BT01Bodytext1"/>
              <w:spacing w:before="120"/>
              <w:rPr>
                <w:rFonts w:cs="Times New Roman"/>
                <w:lang w:val="en-GB"/>
              </w:rPr>
            </w:pPr>
            <w:r w:rsidRPr="00EE633B">
              <w:rPr>
                <w:rFonts w:cs="Times New Roman"/>
                <w:lang w:val="en-GB"/>
              </w:rPr>
              <w:t>The one-off costs incurred in the acquisition of non-current assets should also be included as capital expenditure, for example, transportation costs, legal fees and installation costs</w:t>
            </w:r>
            <w:r w:rsidR="00BD01CA">
              <w:rPr>
                <w:rFonts w:cs="Times New Roman"/>
                <w:lang w:val="en-GB"/>
              </w:rPr>
              <w:t>.</w:t>
            </w:r>
          </w:p>
        </w:tc>
      </w:tr>
      <w:tr w:rsidR="00EE633B" w:rsidRPr="000651F5" w14:paraId="75F012E9" w14:textId="77777777" w:rsidTr="00EE633B">
        <w:trPr>
          <w:trHeight w:val="2685"/>
        </w:trPr>
        <w:tc>
          <w:tcPr>
            <w:tcW w:w="8777" w:type="dxa"/>
          </w:tcPr>
          <w:p w14:paraId="2C1E1830" w14:textId="200542D1" w:rsidR="00393682" w:rsidRDefault="00393682" w:rsidP="001A5C25">
            <w:pPr>
              <w:pStyle w:val="BT01Bodytext1"/>
              <w:jc w:val="center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GROUP B</w:t>
            </w:r>
          </w:p>
          <w:p w14:paraId="00B34369" w14:textId="0CFBF3AC" w:rsidR="00EE633B" w:rsidRPr="00EE633B" w:rsidRDefault="00EE633B" w:rsidP="00FF3B13">
            <w:pPr>
              <w:pStyle w:val="BT01Bodytext1"/>
              <w:rPr>
                <w:rFonts w:cs="Times New Roman"/>
                <w:color w:val="000000"/>
                <w:lang w:val="en-GB"/>
              </w:rPr>
            </w:pPr>
            <w:r w:rsidRPr="00EE633B">
              <w:rPr>
                <w:rFonts w:cs="Times New Roman"/>
                <w:b/>
                <w:lang w:val="en-GB"/>
              </w:rPr>
              <w:t xml:space="preserve">Revenue expenditure </w:t>
            </w:r>
            <w:r w:rsidRPr="00EE633B">
              <w:rPr>
                <w:rFonts w:cs="Times New Roman"/>
                <w:lang w:val="en-GB"/>
              </w:rPr>
              <w:t xml:space="preserve">is a short-term expense incurred to meet the operational costs of running the business on a day-to-day basis. The benefit attained from this expenditure is completely exhausted during the year in which it is incurred. </w:t>
            </w:r>
            <w:r w:rsidRPr="00EE633B">
              <w:rPr>
                <w:rFonts w:cs="Times New Roman"/>
                <w:color w:val="000000"/>
                <w:lang w:val="en-GB"/>
              </w:rPr>
              <w:t>Revenue expenditure is normally recurring, compared to the one-off nature of most capital expenditure. While capital expenditure is meant to extend a business’ ability to earn income, revenue expenditure is meant to maintain the business’ ability to operate. It includes ordinary repair</w:t>
            </w:r>
            <w:r w:rsidR="00717D34">
              <w:rPr>
                <w:rFonts w:cs="Times New Roman"/>
                <w:color w:val="000000"/>
                <w:lang w:val="en-GB"/>
              </w:rPr>
              <w:t>s</w:t>
            </w:r>
            <w:r w:rsidRPr="00EE633B">
              <w:rPr>
                <w:rFonts w:cs="Times New Roman"/>
                <w:color w:val="000000"/>
                <w:lang w:val="en-GB"/>
              </w:rPr>
              <w:t xml:space="preserve"> and maintenance needed to keep an asset working in its current condition and not to improve or extend its economic life.</w:t>
            </w:r>
          </w:p>
          <w:p w14:paraId="782DB648" w14:textId="39E0B9E4" w:rsidR="00EE633B" w:rsidRPr="00EE633B" w:rsidRDefault="00EE633B" w:rsidP="00FF3B13">
            <w:pPr>
              <w:pStyle w:val="BT01Bodytext1"/>
              <w:rPr>
                <w:rFonts w:cs="Times New Roman"/>
                <w:color w:val="000000"/>
                <w:lang w:val="en-GB"/>
              </w:rPr>
            </w:pPr>
            <w:r w:rsidRPr="00EE633B">
              <w:rPr>
                <w:rFonts w:cs="Times New Roman"/>
                <w:color w:val="000000"/>
                <w:lang w:val="en-GB"/>
              </w:rPr>
              <w:t>Revenue expenditure is charged to profit in the statement</w:t>
            </w:r>
            <w:r w:rsidR="00717D34">
              <w:rPr>
                <w:rFonts w:cs="Times New Roman"/>
                <w:color w:val="000000"/>
                <w:lang w:val="en-GB"/>
              </w:rPr>
              <w:t xml:space="preserve"> of profit or loss</w:t>
            </w:r>
            <w:r w:rsidRPr="00EE633B">
              <w:rPr>
                <w:rFonts w:cs="Times New Roman"/>
                <w:color w:val="000000"/>
                <w:lang w:val="en-GB"/>
              </w:rPr>
              <w:t xml:space="preserve"> as soon as it is incurred. Once again, the matching </w:t>
            </w:r>
            <w:r w:rsidR="00FF3B13">
              <w:rPr>
                <w:rFonts w:cs="Times New Roman"/>
                <w:color w:val="000000"/>
                <w:lang w:val="en-GB"/>
              </w:rPr>
              <w:t>concept</w:t>
            </w:r>
            <w:r w:rsidRPr="00EE633B">
              <w:rPr>
                <w:rFonts w:cs="Times New Roman"/>
                <w:color w:val="000000"/>
                <w:lang w:val="en-GB"/>
              </w:rPr>
              <w:t xml:space="preserve"> is being used as expenses are linked to revenues earned in an accounting period.</w:t>
            </w:r>
          </w:p>
          <w:p w14:paraId="45F99774" w14:textId="77777777" w:rsidR="00FF3B13" w:rsidRDefault="00EE633B" w:rsidP="00FF3B13">
            <w:pPr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 w:rsidRPr="00EE633B">
              <w:rPr>
                <w:rFonts w:ascii="Times New Roman" w:hAnsi="Times New Roman" w:cs="Times New Roman"/>
                <w:color w:val="000000"/>
              </w:rPr>
              <w:t>Some examples of revenue expenditure are</w:t>
            </w:r>
            <w:r w:rsidR="00FF3B13">
              <w:rPr>
                <w:rFonts w:ascii="Times New Roman" w:hAnsi="Times New Roman" w:cs="Times New Roman"/>
                <w:color w:val="000000"/>
              </w:rPr>
              <w:t>:</w:t>
            </w:r>
          </w:p>
          <w:p w14:paraId="365D0181" w14:textId="77777777" w:rsidR="00FF3B13" w:rsidRPr="00FF3B13" w:rsidRDefault="00EE633B" w:rsidP="00FF3B13">
            <w:pPr>
              <w:pStyle w:val="OL01Orderedlist1"/>
              <w:numPr>
                <w:ilvl w:val="0"/>
                <w:numId w:val="20"/>
              </w:numPr>
              <w:spacing w:after="120"/>
              <w:ind w:left="357" w:hanging="357"/>
              <w:contextualSpacing/>
              <w:rPr>
                <w:rFonts w:cs="Times New Roman"/>
                <w:lang w:val="en-GB" w:eastAsia="en-NZ"/>
              </w:rPr>
            </w:pPr>
            <w:r w:rsidRPr="00FF3B13">
              <w:rPr>
                <w:rFonts w:cs="Times New Roman"/>
                <w:lang w:val="en-GB" w:eastAsia="en-NZ"/>
              </w:rPr>
              <w:t>purchase of goods and raw materials</w:t>
            </w:r>
          </w:p>
          <w:p w14:paraId="374F1A49" w14:textId="77777777" w:rsidR="00FF3B13" w:rsidRPr="00FF3B13" w:rsidRDefault="00EE633B" w:rsidP="00FF3B13">
            <w:pPr>
              <w:pStyle w:val="OL01Orderedlist1"/>
              <w:numPr>
                <w:ilvl w:val="0"/>
                <w:numId w:val="20"/>
              </w:numPr>
              <w:spacing w:after="120"/>
              <w:ind w:left="357" w:hanging="357"/>
              <w:contextualSpacing/>
              <w:rPr>
                <w:rFonts w:cs="Times New Roman"/>
                <w:lang w:val="en-GB" w:eastAsia="en-NZ"/>
              </w:rPr>
            </w:pPr>
            <w:r w:rsidRPr="00FF3B13">
              <w:rPr>
                <w:rFonts w:cs="Times New Roman"/>
                <w:lang w:val="en-GB" w:eastAsia="en-NZ"/>
              </w:rPr>
              <w:t>salaries</w:t>
            </w:r>
          </w:p>
          <w:p w14:paraId="224FEB85" w14:textId="77777777" w:rsidR="00FF3B13" w:rsidRPr="00FF3B13" w:rsidRDefault="00EE633B" w:rsidP="00FF3B13">
            <w:pPr>
              <w:pStyle w:val="OL01Orderedlist1"/>
              <w:numPr>
                <w:ilvl w:val="0"/>
                <w:numId w:val="20"/>
              </w:numPr>
              <w:spacing w:after="120"/>
              <w:ind w:left="357" w:hanging="357"/>
              <w:contextualSpacing/>
              <w:rPr>
                <w:rFonts w:cs="Times New Roman"/>
                <w:lang w:val="en-GB" w:eastAsia="en-NZ"/>
              </w:rPr>
            </w:pPr>
            <w:r w:rsidRPr="00FF3B13">
              <w:rPr>
                <w:rFonts w:cs="Times New Roman"/>
                <w:lang w:val="en-GB" w:eastAsia="en-NZ"/>
              </w:rPr>
              <w:t>postage</w:t>
            </w:r>
          </w:p>
          <w:p w14:paraId="78B2F212" w14:textId="77777777" w:rsidR="00FF3B13" w:rsidRPr="00FF3B13" w:rsidRDefault="00EE633B" w:rsidP="00FF3B13">
            <w:pPr>
              <w:pStyle w:val="OL01Orderedlist1"/>
              <w:numPr>
                <w:ilvl w:val="0"/>
                <w:numId w:val="20"/>
              </w:numPr>
              <w:spacing w:after="120"/>
              <w:ind w:left="357" w:hanging="357"/>
              <w:contextualSpacing/>
              <w:rPr>
                <w:rFonts w:cs="Times New Roman"/>
                <w:lang w:val="en-GB" w:eastAsia="en-NZ"/>
              </w:rPr>
            </w:pPr>
            <w:r w:rsidRPr="00FF3B13">
              <w:rPr>
                <w:rFonts w:cs="Times New Roman"/>
                <w:lang w:val="en-GB" w:eastAsia="en-NZ"/>
              </w:rPr>
              <w:t>rent</w:t>
            </w:r>
          </w:p>
          <w:p w14:paraId="25F9AF12" w14:textId="77777777" w:rsidR="00FF3B13" w:rsidRPr="00FF3B13" w:rsidRDefault="00EE633B" w:rsidP="00FF3B13">
            <w:pPr>
              <w:pStyle w:val="OL01Orderedlist1"/>
              <w:numPr>
                <w:ilvl w:val="0"/>
                <w:numId w:val="20"/>
              </w:numPr>
              <w:spacing w:after="120"/>
              <w:ind w:left="357" w:hanging="357"/>
              <w:contextualSpacing/>
              <w:rPr>
                <w:rFonts w:cs="Times New Roman"/>
                <w:lang w:val="en-GB" w:eastAsia="en-NZ"/>
              </w:rPr>
            </w:pPr>
            <w:r w:rsidRPr="00FF3B13">
              <w:rPr>
                <w:rFonts w:cs="Times New Roman"/>
                <w:lang w:val="en-GB" w:eastAsia="en-NZ"/>
              </w:rPr>
              <w:t>travel expenses</w:t>
            </w:r>
          </w:p>
          <w:p w14:paraId="1F0F023B" w14:textId="77777777" w:rsidR="00FF3B13" w:rsidRPr="00FF3B13" w:rsidRDefault="00EE633B" w:rsidP="00FF3B13">
            <w:pPr>
              <w:pStyle w:val="OL01Orderedlist1"/>
              <w:numPr>
                <w:ilvl w:val="0"/>
                <w:numId w:val="20"/>
              </w:numPr>
              <w:spacing w:after="120"/>
              <w:ind w:left="357" w:hanging="357"/>
              <w:contextualSpacing/>
              <w:rPr>
                <w:rFonts w:cs="Times New Roman"/>
                <w:lang w:val="en-GB" w:eastAsia="en-NZ"/>
              </w:rPr>
            </w:pPr>
            <w:r w:rsidRPr="00FF3B13">
              <w:rPr>
                <w:rFonts w:cs="Times New Roman"/>
                <w:lang w:val="en-GB" w:eastAsia="en-NZ"/>
              </w:rPr>
              <w:t>stationery</w:t>
            </w:r>
          </w:p>
          <w:p w14:paraId="4558ACF5" w14:textId="43FE9973" w:rsidR="00EE633B" w:rsidRPr="00EE633B" w:rsidRDefault="00EE633B" w:rsidP="00FF3B13">
            <w:pPr>
              <w:pStyle w:val="OL01Orderedlist1"/>
              <w:numPr>
                <w:ilvl w:val="0"/>
                <w:numId w:val="20"/>
              </w:numPr>
              <w:spacing w:after="120"/>
              <w:rPr>
                <w:rFonts w:cs="Times New Roman"/>
                <w:b/>
              </w:rPr>
            </w:pPr>
            <w:r w:rsidRPr="00FF3B13">
              <w:rPr>
                <w:rFonts w:cs="Times New Roman"/>
                <w:lang w:val="en-GB" w:eastAsia="en-NZ"/>
              </w:rPr>
              <w:t>wages.</w:t>
            </w:r>
          </w:p>
        </w:tc>
      </w:tr>
    </w:tbl>
    <w:p w14:paraId="700BB119" w14:textId="77777777" w:rsidR="00393682" w:rsidRDefault="00393682">
      <w:r>
        <w:br w:type="page"/>
      </w:r>
      <w:bookmarkStart w:id="0" w:name="_GoBack"/>
      <w:bookmarkEnd w:id="0"/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777"/>
      </w:tblGrid>
      <w:tr w:rsidR="00EE633B" w:rsidRPr="000651F5" w14:paraId="6F167C1C" w14:textId="77777777" w:rsidTr="00EE633B">
        <w:trPr>
          <w:trHeight w:val="983"/>
        </w:trPr>
        <w:tc>
          <w:tcPr>
            <w:tcW w:w="8777" w:type="dxa"/>
          </w:tcPr>
          <w:p w14:paraId="78CBE697" w14:textId="299B0D05" w:rsidR="00393682" w:rsidRDefault="00393682" w:rsidP="001A5C25">
            <w:pPr>
              <w:pStyle w:val="BT01Bodytext1"/>
              <w:jc w:val="center"/>
              <w:rPr>
                <w:rFonts w:cs="Times New Roman"/>
                <w:b/>
                <w:lang w:val="en-GB" w:eastAsia="en-NZ"/>
              </w:rPr>
            </w:pPr>
            <w:r>
              <w:rPr>
                <w:rFonts w:cs="Times New Roman"/>
                <w:b/>
                <w:lang w:val="en-GB" w:eastAsia="en-NZ"/>
              </w:rPr>
              <w:lastRenderedPageBreak/>
              <w:t>GROUP C</w:t>
            </w:r>
          </w:p>
          <w:p w14:paraId="58C43818" w14:textId="538D5D85" w:rsidR="00EE633B" w:rsidRPr="00EE633B" w:rsidRDefault="00EE633B" w:rsidP="00FF3B13">
            <w:pPr>
              <w:pStyle w:val="BT01Bodytext1"/>
              <w:rPr>
                <w:rFonts w:cs="Times New Roman"/>
                <w:lang w:val="en-GB" w:eastAsia="en-NZ"/>
              </w:rPr>
            </w:pPr>
            <w:r w:rsidRPr="00EE633B">
              <w:rPr>
                <w:rFonts w:cs="Times New Roman"/>
                <w:b/>
                <w:lang w:val="en-GB" w:eastAsia="en-NZ"/>
              </w:rPr>
              <w:t xml:space="preserve">Capital receipts </w:t>
            </w:r>
            <w:r w:rsidRPr="00EE633B">
              <w:rPr>
                <w:rFonts w:cs="Times New Roman"/>
                <w:lang w:val="en-GB" w:eastAsia="en-NZ"/>
              </w:rPr>
              <w:t>are funds received by the business that are not part of the operating activities of the business. Capital receipts are non-recurring and non-routine.</w:t>
            </w:r>
            <w:r>
              <w:rPr>
                <w:rFonts w:cs="Times New Roman"/>
                <w:lang w:val="en-GB" w:eastAsia="en-NZ"/>
              </w:rPr>
              <w:t xml:space="preserve"> </w:t>
            </w:r>
            <w:r w:rsidRPr="00EE633B">
              <w:rPr>
                <w:rFonts w:cs="Times New Roman"/>
                <w:lang w:val="en-GB" w:eastAsia="en-NZ"/>
              </w:rPr>
              <w:t xml:space="preserve">When a non-current asset is sold, the money received is a capital receipt. This receipt is not entered in the statement </w:t>
            </w:r>
            <w:r w:rsidR="00FF3B13">
              <w:rPr>
                <w:rFonts w:cs="Times New Roman"/>
                <w:lang w:val="en-GB" w:eastAsia="en-NZ"/>
              </w:rPr>
              <w:t xml:space="preserve">of profit or loss </w:t>
            </w:r>
            <w:r w:rsidRPr="00EE633B">
              <w:rPr>
                <w:rFonts w:cs="Times New Roman"/>
                <w:lang w:val="en-GB" w:eastAsia="en-NZ"/>
              </w:rPr>
              <w:t xml:space="preserve">but is credited to the non-current asset in the </w:t>
            </w:r>
            <w:r w:rsidR="00FF3B13">
              <w:rPr>
                <w:rFonts w:cs="Times New Roman"/>
                <w:lang w:val="en-GB" w:eastAsia="en-NZ"/>
              </w:rPr>
              <w:t>g</w:t>
            </w:r>
            <w:r w:rsidRPr="00EE633B">
              <w:rPr>
                <w:rFonts w:cs="Times New Roman"/>
                <w:lang w:val="en-GB" w:eastAsia="en-NZ"/>
              </w:rPr>
              <w:t xml:space="preserve">eneral ledger, reducing the value of the non-current asset. However, if a profit or loss is made on the sale of the asset, it is entered in the statement </w:t>
            </w:r>
            <w:r w:rsidR="00FF3B13">
              <w:rPr>
                <w:rFonts w:cs="Times New Roman"/>
                <w:lang w:val="en-GB" w:eastAsia="en-NZ"/>
              </w:rPr>
              <w:t xml:space="preserve">of profit or loss </w:t>
            </w:r>
            <w:r w:rsidRPr="00EE633B">
              <w:rPr>
                <w:rFonts w:cs="Times New Roman"/>
                <w:lang w:val="en-GB" w:eastAsia="en-NZ"/>
              </w:rPr>
              <w:t>prepared in the year the asset is sold. Other sources of capital receipts are:</w:t>
            </w:r>
          </w:p>
          <w:p w14:paraId="7AA8E5C1" w14:textId="77777777" w:rsidR="00EE633B" w:rsidRPr="00EE633B" w:rsidRDefault="00EE633B" w:rsidP="00FF3B13">
            <w:pPr>
              <w:pStyle w:val="OL01Orderedlist1"/>
              <w:numPr>
                <w:ilvl w:val="0"/>
                <w:numId w:val="20"/>
              </w:numPr>
              <w:spacing w:after="120"/>
              <w:ind w:left="357" w:hanging="357"/>
              <w:contextualSpacing/>
              <w:rPr>
                <w:rFonts w:cs="Times New Roman"/>
                <w:lang w:val="en-GB" w:eastAsia="en-NZ"/>
              </w:rPr>
            </w:pPr>
            <w:r w:rsidRPr="00EE633B">
              <w:rPr>
                <w:rFonts w:cs="Times New Roman"/>
                <w:lang w:val="en-GB" w:eastAsia="en-NZ"/>
              </w:rPr>
              <w:t>an issue of shares</w:t>
            </w:r>
          </w:p>
          <w:p w14:paraId="3C8312AD" w14:textId="77777777" w:rsidR="00EE633B" w:rsidRPr="00EE633B" w:rsidRDefault="00EE633B" w:rsidP="00FF3B13">
            <w:pPr>
              <w:pStyle w:val="OL01Orderedlist1"/>
              <w:numPr>
                <w:ilvl w:val="0"/>
                <w:numId w:val="20"/>
              </w:numPr>
              <w:spacing w:after="120"/>
              <w:ind w:left="357" w:hanging="357"/>
              <w:contextualSpacing/>
              <w:rPr>
                <w:rFonts w:cs="Times New Roman"/>
                <w:lang w:val="en-GB" w:eastAsia="en-NZ"/>
              </w:rPr>
            </w:pPr>
            <w:r w:rsidRPr="00EE633B">
              <w:rPr>
                <w:rFonts w:cs="Times New Roman"/>
                <w:lang w:val="en-GB" w:eastAsia="en-NZ"/>
              </w:rPr>
              <w:t>an issue of debentures</w:t>
            </w:r>
          </w:p>
          <w:p w14:paraId="0B70508A" w14:textId="77777777" w:rsidR="00EE633B" w:rsidRPr="00EE633B" w:rsidRDefault="00EE633B" w:rsidP="00FF3B13">
            <w:pPr>
              <w:pStyle w:val="OL01Orderedlist1"/>
              <w:numPr>
                <w:ilvl w:val="0"/>
                <w:numId w:val="20"/>
              </w:numPr>
              <w:spacing w:after="120"/>
              <w:ind w:left="357" w:hanging="357"/>
              <w:contextualSpacing/>
              <w:rPr>
                <w:rFonts w:cs="Times New Roman"/>
                <w:lang w:val="en-GB" w:eastAsia="en-NZ"/>
              </w:rPr>
            </w:pPr>
            <w:r w:rsidRPr="00EE633B">
              <w:rPr>
                <w:rFonts w:cs="Times New Roman"/>
                <w:lang w:val="en-GB" w:eastAsia="en-NZ"/>
              </w:rPr>
              <w:t>a loan taken from a bank</w:t>
            </w:r>
          </w:p>
          <w:p w14:paraId="6ECE81DE" w14:textId="77777777" w:rsidR="00EE633B" w:rsidRPr="00EE633B" w:rsidRDefault="00EE633B" w:rsidP="00FF3B13">
            <w:pPr>
              <w:pStyle w:val="OL01Orderedlist1"/>
              <w:numPr>
                <w:ilvl w:val="0"/>
                <w:numId w:val="20"/>
              </w:numPr>
              <w:spacing w:after="120"/>
              <w:ind w:left="357" w:hanging="357"/>
              <w:contextualSpacing/>
              <w:rPr>
                <w:rFonts w:cs="Times New Roman"/>
                <w:lang w:val="en-GB" w:eastAsia="en-NZ"/>
              </w:rPr>
            </w:pPr>
            <w:r w:rsidRPr="00EE633B">
              <w:rPr>
                <w:rFonts w:cs="Times New Roman"/>
                <w:lang w:val="en-GB" w:eastAsia="en-NZ"/>
              </w:rPr>
              <w:t>additional equity introduced by the owner</w:t>
            </w:r>
          </w:p>
          <w:p w14:paraId="5A399BAF" w14:textId="71216A43" w:rsidR="00EE633B" w:rsidRPr="00EE633B" w:rsidRDefault="00EE633B" w:rsidP="00FF3B13">
            <w:pPr>
              <w:pStyle w:val="OL01Orderedlist1"/>
              <w:numPr>
                <w:ilvl w:val="0"/>
                <w:numId w:val="20"/>
              </w:numPr>
              <w:spacing w:after="120"/>
              <w:ind w:left="357" w:hanging="357"/>
              <w:contextualSpacing/>
              <w:rPr>
                <w:rFonts w:cs="Times New Roman"/>
                <w:lang w:val="en-GB" w:eastAsia="en-NZ"/>
              </w:rPr>
            </w:pPr>
            <w:r w:rsidRPr="00EE633B">
              <w:rPr>
                <w:rFonts w:cs="Times New Roman"/>
                <w:lang w:val="en-GB" w:eastAsia="en-NZ"/>
              </w:rPr>
              <w:t>an insurance claim.</w:t>
            </w:r>
          </w:p>
        </w:tc>
      </w:tr>
      <w:tr w:rsidR="00EE633B" w:rsidRPr="000651F5" w14:paraId="7F204D16" w14:textId="77777777" w:rsidTr="00EE633B">
        <w:tc>
          <w:tcPr>
            <w:tcW w:w="8777" w:type="dxa"/>
          </w:tcPr>
          <w:p w14:paraId="4E10C93E" w14:textId="37D4E8C0" w:rsidR="00393682" w:rsidRDefault="00393682" w:rsidP="001A5C25">
            <w:pPr>
              <w:pStyle w:val="BT01Bodytext1"/>
              <w:jc w:val="center"/>
              <w:rPr>
                <w:rFonts w:cs="Times New Roman"/>
                <w:b/>
                <w:lang w:val="en-GB" w:eastAsia="en-NZ"/>
              </w:rPr>
            </w:pPr>
            <w:r>
              <w:rPr>
                <w:rFonts w:cs="Times New Roman"/>
                <w:b/>
                <w:lang w:val="en-GB" w:eastAsia="en-NZ"/>
              </w:rPr>
              <w:t>GROUP D</w:t>
            </w:r>
          </w:p>
          <w:p w14:paraId="76E21E92" w14:textId="135637D7" w:rsidR="00EE633B" w:rsidRPr="00EE633B" w:rsidRDefault="00EE633B" w:rsidP="00FF3B13">
            <w:pPr>
              <w:pStyle w:val="BT01Bodytext1"/>
              <w:rPr>
                <w:rFonts w:cs="Times New Roman"/>
                <w:lang w:val="en-GB"/>
              </w:rPr>
            </w:pPr>
            <w:r w:rsidRPr="00EE633B">
              <w:rPr>
                <w:rFonts w:cs="Times New Roman"/>
                <w:b/>
                <w:lang w:val="en-GB" w:eastAsia="en-NZ"/>
              </w:rPr>
              <w:t xml:space="preserve">Revenue receipts </w:t>
            </w:r>
            <w:r w:rsidRPr="00EE633B">
              <w:rPr>
                <w:rFonts w:cs="Times New Roman"/>
                <w:lang w:val="en-GB" w:eastAsia="en-NZ"/>
              </w:rPr>
              <w:t xml:space="preserve">arise from the normal operating activities of the business and are recurring. Therefore, income received from the day-to-day activities of the business such as sales revenue, commission receivable or rent </w:t>
            </w:r>
            <w:r w:rsidR="00FF3B13">
              <w:rPr>
                <w:rFonts w:cs="Times New Roman"/>
                <w:lang w:val="en-GB" w:eastAsia="en-NZ"/>
              </w:rPr>
              <w:t>income</w:t>
            </w:r>
            <w:r w:rsidRPr="00EE633B">
              <w:rPr>
                <w:rFonts w:cs="Times New Roman"/>
                <w:lang w:val="en-GB" w:eastAsia="en-NZ"/>
              </w:rPr>
              <w:t xml:space="preserve">, make up the revenue receipts of a business. They are entered in the statement </w:t>
            </w:r>
            <w:r w:rsidR="00FF3B13">
              <w:rPr>
                <w:rFonts w:cs="Times New Roman"/>
                <w:lang w:val="en-GB" w:eastAsia="en-NZ"/>
              </w:rPr>
              <w:t xml:space="preserve">of profit or loss </w:t>
            </w:r>
            <w:r w:rsidRPr="00EE633B">
              <w:rPr>
                <w:rFonts w:cs="Times New Roman"/>
                <w:lang w:val="en-GB" w:eastAsia="en-NZ"/>
              </w:rPr>
              <w:t xml:space="preserve">prepared by the business at the end of the financial year. </w:t>
            </w:r>
            <w:r w:rsidRPr="00EE633B">
              <w:rPr>
                <w:rFonts w:cs="Times New Roman"/>
                <w:lang w:val="en-GB"/>
              </w:rPr>
              <w:t>Some examples of revenue receipts are:</w:t>
            </w:r>
          </w:p>
          <w:p w14:paraId="5BBBB4F5" w14:textId="77777777" w:rsidR="00EE633B" w:rsidRPr="00EE633B" w:rsidRDefault="00EE633B" w:rsidP="00FF3B13">
            <w:pPr>
              <w:pStyle w:val="OL01Orderedlist1"/>
              <w:numPr>
                <w:ilvl w:val="0"/>
                <w:numId w:val="21"/>
              </w:numPr>
              <w:spacing w:after="120"/>
              <w:ind w:left="357" w:hanging="357"/>
              <w:contextualSpacing/>
              <w:rPr>
                <w:rFonts w:cs="Times New Roman"/>
                <w:lang w:val="en-GB"/>
              </w:rPr>
            </w:pPr>
            <w:r w:rsidRPr="00EE633B">
              <w:rPr>
                <w:rFonts w:cs="Times New Roman"/>
                <w:lang w:val="en-GB"/>
              </w:rPr>
              <w:t>sales revenue received by a trading or manufacturing business</w:t>
            </w:r>
          </w:p>
          <w:p w14:paraId="4B1A06D3" w14:textId="77777777" w:rsidR="00EE633B" w:rsidRPr="00EE633B" w:rsidRDefault="00EE633B" w:rsidP="00FF3B13">
            <w:pPr>
              <w:pStyle w:val="OL01Orderedlist1"/>
              <w:numPr>
                <w:ilvl w:val="0"/>
                <w:numId w:val="21"/>
              </w:numPr>
              <w:spacing w:after="120"/>
              <w:ind w:left="357" w:hanging="357"/>
              <w:contextualSpacing/>
              <w:rPr>
                <w:rFonts w:cs="Times New Roman"/>
                <w:lang w:val="en-GB"/>
              </w:rPr>
            </w:pPr>
            <w:r w:rsidRPr="00EE633B">
              <w:rPr>
                <w:rFonts w:cs="Times New Roman"/>
                <w:lang w:val="en-GB"/>
              </w:rPr>
              <w:t>fees received by a service business</w:t>
            </w:r>
          </w:p>
          <w:p w14:paraId="4084B51A" w14:textId="77777777" w:rsidR="00EE633B" w:rsidRPr="00EE633B" w:rsidRDefault="00EE633B" w:rsidP="00FF3B13">
            <w:pPr>
              <w:pStyle w:val="OL01Orderedlist1"/>
              <w:numPr>
                <w:ilvl w:val="0"/>
                <w:numId w:val="21"/>
              </w:numPr>
              <w:spacing w:after="120"/>
              <w:ind w:left="357" w:hanging="357"/>
              <w:contextualSpacing/>
              <w:rPr>
                <w:rFonts w:cs="Times New Roman"/>
                <w:lang w:val="en-GB"/>
              </w:rPr>
            </w:pPr>
            <w:r w:rsidRPr="00EE633B">
              <w:rPr>
                <w:rFonts w:cs="Times New Roman"/>
                <w:lang w:val="en-GB"/>
              </w:rPr>
              <w:t>discounts received from suppliers or trade payables</w:t>
            </w:r>
          </w:p>
          <w:p w14:paraId="3E24883A" w14:textId="77777777" w:rsidR="00EE633B" w:rsidRPr="00EE633B" w:rsidRDefault="00EE633B" w:rsidP="00FF3B13">
            <w:pPr>
              <w:pStyle w:val="OL01Orderedlist1"/>
              <w:numPr>
                <w:ilvl w:val="0"/>
                <w:numId w:val="21"/>
              </w:numPr>
              <w:spacing w:after="120"/>
              <w:ind w:left="357" w:hanging="357"/>
              <w:contextualSpacing/>
              <w:rPr>
                <w:rFonts w:cs="Times New Roman"/>
                <w:lang w:val="en-GB"/>
              </w:rPr>
            </w:pPr>
            <w:r w:rsidRPr="00EE633B">
              <w:rPr>
                <w:rFonts w:cs="Times New Roman"/>
                <w:lang w:val="en-GB"/>
              </w:rPr>
              <w:t>earnings from investment income</w:t>
            </w:r>
          </w:p>
          <w:p w14:paraId="547DF4AC" w14:textId="150078A4" w:rsidR="00EE633B" w:rsidRPr="00EE633B" w:rsidRDefault="00EE633B" w:rsidP="00FF3B13">
            <w:pPr>
              <w:pStyle w:val="OL01Orderedlist1"/>
              <w:numPr>
                <w:ilvl w:val="0"/>
                <w:numId w:val="21"/>
              </w:numPr>
              <w:spacing w:after="120"/>
              <w:ind w:left="357" w:hanging="357"/>
              <w:contextualSpacing/>
              <w:rPr>
                <w:rFonts w:cs="Times New Roman"/>
                <w:lang w:val="en-GB"/>
              </w:rPr>
            </w:pPr>
            <w:r w:rsidRPr="00EE633B">
              <w:rPr>
                <w:rFonts w:cs="Times New Roman"/>
                <w:lang w:val="en-GB"/>
              </w:rPr>
              <w:t xml:space="preserve">rent </w:t>
            </w:r>
            <w:r w:rsidR="00FF3B13">
              <w:rPr>
                <w:rFonts w:cs="Times New Roman"/>
                <w:lang w:val="en-GB"/>
              </w:rPr>
              <w:t>income</w:t>
            </w:r>
            <w:r w:rsidRPr="00EE633B">
              <w:rPr>
                <w:rFonts w:cs="Times New Roman"/>
                <w:lang w:val="en-GB"/>
              </w:rPr>
              <w:t>.</w:t>
            </w:r>
          </w:p>
        </w:tc>
      </w:tr>
    </w:tbl>
    <w:p w14:paraId="153A46B2" w14:textId="77777777" w:rsidR="004D5B76" w:rsidRPr="000651F5" w:rsidRDefault="004D5B76" w:rsidP="004D5B76">
      <w:pPr>
        <w:pStyle w:val="HBhead"/>
      </w:pPr>
    </w:p>
    <w:p w14:paraId="37D3980C" w14:textId="77777777" w:rsidR="007835A2" w:rsidRPr="004D5B76" w:rsidRDefault="007835A2" w:rsidP="008773C0">
      <w:pPr>
        <w:pStyle w:val="OSSL01Orderedsubsublistmerge"/>
        <w:rPr>
          <w:lang w:val="en-GB"/>
        </w:rPr>
      </w:pPr>
    </w:p>
    <w:p w14:paraId="0C4BEB68" w14:textId="77777777" w:rsidR="007835A2" w:rsidRDefault="007835A2" w:rsidP="008773C0">
      <w:pPr>
        <w:pStyle w:val="OSSL01Orderedsubsublistmerge"/>
      </w:pPr>
    </w:p>
    <w:p w14:paraId="3F16EE66" w14:textId="77777777" w:rsidR="007835A2" w:rsidRDefault="007835A2" w:rsidP="008773C0">
      <w:pPr>
        <w:pStyle w:val="OSSL01Orderedsubsublistmerge"/>
      </w:pPr>
    </w:p>
    <w:p w14:paraId="01C4E635" w14:textId="77777777" w:rsidR="007835A2" w:rsidRPr="008773C0" w:rsidRDefault="007835A2" w:rsidP="008773C0">
      <w:pPr>
        <w:pStyle w:val="OSSL01Orderedsubsublistmerge"/>
      </w:pPr>
    </w:p>
    <w:sectPr w:rsidR="007835A2" w:rsidRPr="008773C0" w:rsidSect="00E97F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D6E6D" w14:textId="77777777" w:rsidR="00775E91" w:rsidRDefault="00775E91" w:rsidP="006C528B">
      <w:pPr>
        <w:spacing w:after="0" w:line="240" w:lineRule="auto"/>
      </w:pPr>
      <w:r>
        <w:separator/>
      </w:r>
    </w:p>
  </w:endnote>
  <w:endnote w:type="continuationSeparator" w:id="0">
    <w:p w14:paraId="0D8C4876" w14:textId="77777777" w:rsidR="00775E91" w:rsidRDefault="00775E91" w:rsidP="006C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Futura-Book">
    <w:altName w:val="Calibri"/>
    <w:charset w:val="B1"/>
    <w:family w:val="swiss"/>
    <w:pitch w:val="variable"/>
    <w:sig w:usb0="80000867" w:usb1="00000000" w:usb2="00000000" w:usb3="00000000" w:csb0="000001FB" w:csb1="00000000"/>
  </w:font>
  <w:font w:name="MinionPro-Regular">
    <w:altName w:val="Times New Roman"/>
    <w:charset w:val="00"/>
    <w:family w:val="auto"/>
    <w:pitch w:val="variable"/>
    <w:sig w:usb0="E00002AF" w:usb1="5000607B" w:usb2="00000000" w:usb3="00000000" w:csb0="0000009F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A859D" w14:textId="53B6BF7B" w:rsidR="00E97F78" w:rsidRPr="000829D1" w:rsidRDefault="00E97F78" w:rsidP="00E97F78">
    <w:pPr>
      <w:pStyle w:val="Footer"/>
      <w:framePr w:wrap="none" w:vAnchor="text" w:hAnchor="page" w:x="10392" w:y="-19"/>
      <w:rPr>
        <w:rStyle w:val="PageNumber"/>
        <w:b/>
        <w:color w:val="E46F2A"/>
      </w:rPr>
    </w:pPr>
    <w:r w:rsidRPr="000829D1">
      <w:rPr>
        <w:rStyle w:val="PageNumber"/>
        <w:b/>
        <w:color w:val="E46F2A"/>
      </w:rPr>
      <w:fldChar w:fldCharType="begin"/>
    </w:r>
    <w:r w:rsidRPr="000829D1">
      <w:rPr>
        <w:rStyle w:val="PageNumber"/>
        <w:b/>
        <w:color w:val="E46F2A"/>
      </w:rPr>
      <w:instrText xml:space="preserve">PAGE  </w:instrText>
    </w:r>
    <w:r w:rsidRPr="000829D1">
      <w:rPr>
        <w:rStyle w:val="PageNumber"/>
        <w:b/>
        <w:color w:val="E46F2A"/>
      </w:rPr>
      <w:fldChar w:fldCharType="separate"/>
    </w:r>
    <w:r w:rsidR="00372708">
      <w:rPr>
        <w:rStyle w:val="PageNumber"/>
        <w:b/>
        <w:noProof/>
        <w:color w:val="E46F2A"/>
      </w:rPr>
      <w:t>2</w:t>
    </w:r>
    <w:r w:rsidRPr="000829D1">
      <w:rPr>
        <w:rStyle w:val="PageNumber"/>
        <w:b/>
        <w:color w:val="E46F2A"/>
      </w:rPr>
      <w:fldChar w:fldCharType="end"/>
    </w:r>
  </w:p>
  <w:p w14:paraId="77E6CFD4" w14:textId="07952158" w:rsidR="00E97F78" w:rsidRPr="000829D1" w:rsidRDefault="004D4098" w:rsidP="004D4098">
    <w:pPr>
      <w:pStyle w:val="RFRRunningfootrecto"/>
      <w:ind w:right="360"/>
      <w:rPr>
        <w:rFonts w:asciiTheme="minorHAnsi" w:hAnsiTheme="minorHAnsi" w:cstheme="minorHAnsi"/>
        <w:i/>
        <w:iCs/>
      </w:rPr>
    </w:pPr>
    <w:r w:rsidRPr="000829D1">
      <w:rPr>
        <w:rFonts w:asciiTheme="minorHAnsi" w:hAnsiTheme="minorHAnsi" w:cstheme="minorHAnsi"/>
        <w:i/>
        <w:iCs/>
      </w:rPr>
      <w:t xml:space="preserve">Cambridge IGCSE and O Level </w:t>
    </w:r>
    <w:r w:rsidR="00EE324E" w:rsidRPr="000829D1">
      <w:rPr>
        <w:rFonts w:asciiTheme="minorHAnsi" w:hAnsiTheme="minorHAnsi" w:cstheme="minorHAnsi"/>
        <w:i/>
        <w:iCs/>
      </w:rPr>
      <w:t>Accounting</w:t>
    </w:r>
    <w:r w:rsidR="00372708">
      <w:rPr>
        <w:rFonts w:asciiTheme="minorHAnsi" w:hAnsiTheme="minorHAnsi" w:cstheme="minorHAnsi"/>
        <w:i/>
        <w:iCs/>
      </w:rPr>
      <w:t xml:space="preserve"> Teacher Guide</w:t>
    </w:r>
    <w:r w:rsidR="000829D1">
      <w:rPr>
        <w:rFonts w:asciiTheme="minorHAnsi" w:hAnsiTheme="minorHAnsi" w:cstheme="minorHAnsi"/>
        <w:i/>
        <w:iCs/>
      </w:rPr>
      <w:t xml:space="preserve"> </w:t>
    </w:r>
    <w:r w:rsidRPr="000829D1">
      <w:rPr>
        <w:rFonts w:asciiTheme="minorHAnsi" w:hAnsiTheme="minorHAnsi" w:cstheme="minorHAnsi"/>
      </w:rPr>
      <w:t xml:space="preserve">© </w:t>
    </w:r>
    <w:r w:rsidR="003447DC" w:rsidRPr="000829D1">
      <w:rPr>
        <w:rFonts w:asciiTheme="minorHAnsi" w:hAnsiTheme="minorHAnsi" w:cstheme="minorHAnsi"/>
      </w:rPr>
      <w:t xml:space="preserve">Hodder &amp; Stoughton Limited </w:t>
    </w:r>
    <w:r w:rsidRPr="000829D1">
      <w:rPr>
        <w:rFonts w:asciiTheme="minorHAnsi" w:hAnsiTheme="minorHAnsi" w:cstheme="minorHAnsi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C1A25" w14:textId="48BF79FF" w:rsidR="00E97F78" w:rsidRPr="00144508" w:rsidRDefault="00E97F78" w:rsidP="00E97F78">
    <w:pPr>
      <w:pStyle w:val="Footer"/>
      <w:framePr w:wrap="none" w:vAnchor="text" w:hAnchor="page" w:x="10392" w:y="-19"/>
      <w:rPr>
        <w:rStyle w:val="PageNumber"/>
        <w:b/>
        <w:color w:val="E46F2A"/>
      </w:rPr>
    </w:pPr>
    <w:r w:rsidRPr="00144508">
      <w:rPr>
        <w:rStyle w:val="PageNumber"/>
        <w:b/>
        <w:color w:val="E46F2A"/>
      </w:rPr>
      <w:fldChar w:fldCharType="begin"/>
    </w:r>
    <w:r w:rsidRPr="00144508">
      <w:rPr>
        <w:rStyle w:val="PageNumber"/>
        <w:b/>
        <w:color w:val="E46F2A"/>
      </w:rPr>
      <w:instrText xml:space="preserve">PAGE  </w:instrText>
    </w:r>
    <w:r w:rsidRPr="00144508">
      <w:rPr>
        <w:rStyle w:val="PageNumber"/>
        <w:b/>
        <w:color w:val="E46F2A"/>
      </w:rPr>
      <w:fldChar w:fldCharType="separate"/>
    </w:r>
    <w:r w:rsidR="00372708">
      <w:rPr>
        <w:rStyle w:val="PageNumber"/>
        <w:b/>
        <w:noProof/>
        <w:color w:val="E46F2A"/>
      </w:rPr>
      <w:t>1</w:t>
    </w:r>
    <w:r w:rsidRPr="00144508">
      <w:rPr>
        <w:rStyle w:val="PageNumber"/>
        <w:b/>
        <w:color w:val="E46F2A"/>
      </w:rPr>
      <w:fldChar w:fldCharType="end"/>
    </w:r>
  </w:p>
  <w:p w14:paraId="1A747BBF" w14:textId="0A8368A9" w:rsidR="00E97F78" w:rsidRPr="00144508" w:rsidRDefault="004D4098" w:rsidP="00E97F78">
    <w:pPr>
      <w:pStyle w:val="RFRRunningfootrecto"/>
      <w:ind w:right="360"/>
      <w:rPr>
        <w:rFonts w:asciiTheme="minorHAnsi" w:hAnsiTheme="minorHAnsi" w:cstheme="minorHAnsi"/>
        <w:i/>
        <w:iCs/>
      </w:rPr>
    </w:pPr>
    <w:r w:rsidRPr="00144508">
      <w:rPr>
        <w:rFonts w:asciiTheme="minorHAnsi" w:hAnsiTheme="minorHAnsi" w:cstheme="minorHAnsi"/>
        <w:i/>
        <w:iCs/>
      </w:rPr>
      <w:t xml:space="preserve">Cambridge IGCSE and O Level </w:t>
    </w:r>
    <w:r w:rsidR="0076042C" w:rsidRPr="00144508">
      <w:rPr>
        <w:rFonts w:asciiTheme="minorHAnsi" w:hAnsiTheme="minorHAnsi" w:cstheme="minorHAnsi"/>
        <w:i/>
        <w:iCs/>
      </w:rPr>
      <w:t>Accounting</w:t>
    </w:r>
    <w:r w:rsidRPr="00144508">
      <w:rPr>
        <w:rFonts w:asciiTheme="minorHAnsi" w:hAnsiTheme="minorHAnsi" w:cstheme="minorHAnsi"/>
        <w:i/>
        <w:iCs/>
      </w:rPr>
      <w:t xml:space="preserve"> </w:t>
    </w:r>
    <w:r w:rsidR="00372708">
      <w:rPr>
        <w:rFonts w:asciiTheme="minorHAnsi" w:hAnsiTheme="minorHAnsi" w:cstheme="minorHAnsi"/>
        <w:i/>
        <w:iCs/>
      </w:rPr>
      <w:t>Teacher Guide</w:t>
    </w:r>
    <w:r w:rsidR="00144508">
      <w:rPr>
        <w:rFonts w:asciiTheme="minorHAnsi" w:hAnsiTheme="minorHAnsi" w:cstheme="minorHAnsi"/>
        <w:i/>
        <w:iCs/>
      </w:rPr>
      <w:t xml:space="preserve"> </w:t>
    </w:r>
    <w:r w:rsidR="00E97F78" w:rsidRPr="00144508">
      <w:rPr>
        <w:rFonts w:asciiTheme="minorHAnsi" w:hAnsiTheme="minorHAnsi" w:cstheme="minorHAnsi"/>
      </w:rPr>
      <w:t xml:space="preserve">© </w:t>
    </w:r>
    <w:r w:rsidR="003447DC" w:rsidRPr="00144508">
      <w:rPr>
        <w:rFonts w:asciiTheme="minorHAnsi" w:hAnsiTheme="minorHAnsi" w:cstheme="minorHAnsi"/>
      </w:rPr>
      <w:t xml:space="preserve">Hodder &amp; Stoughton Limited </w:t>
    </w:r>
    <w:r w:rsidRPr="00144508">
      <w:rPr>
        <w:rFonts w:asciiTheme="minorHAnsi" w:hAnsiTheme="minorHAnsi" w:cstheme="minorHAnsi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2AA42" w14:textId="77777777" w:rsidR="00775E91" w:rsidRDefault="00775E91" w:rsidP="006C528B">
      <w:pPr>
        <w:spacing w:after="0" w:line="240" w:lineRule="auto"/>
      </w:pPr>
      <w:r>
        <w:separator/>
      </w:r>
    </w:p>
  </w:footnote>
  <w:footnote w:type="continuationSeparator" w:id="0">
    <w:p w14:paraId="0A89E951" w14:textId="77777777" w:rsidR="00775E91" w:rsidRDefault="00775E91" w:rsidP="006C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A5F77" w14:textId="6F5CEFF4" w:rsidR="00E97F78" w:rsidRPr="007835A2" w:rsidRDefault="00C740DF" w:rsidP="00E97F78">
    <w:pPr>
      <w:pStyle w:val="Header"/>
      <w:pBdr>
        <w:bottom w:val="single" w:sz="4" w:space="1" w:color="auto"/>
      </w:pBdr>
      <w:jc w:val="right"/>
      <w:rPr>
        <w:i/>
        <w:iCs/>
      </w:rPr>
    </w:pPr>
    <w:r>
      <w:rPr>
        <w:i/>
        <w:iCs/>
      </w:rPr>
      <w:t xml:space="preserve">EAL </w:t>
    </w:r>
    <w:r w:rsidR="0016716B">
      <w:rPr>
        <w:i/>
        <w:iCs/>
      </w:rPr>
      <w:t>activities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01FB4" w14:textId="65DBCE30" w:rsidR="00E97F78" w:rsidRPr="00F07FF9" w:rsidRDefault="00144508" w:rsidP="0076042C">
    <w:pPr>
      <w:pStyle w:val="Running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81FAC1" wp14:editId="3B716757">
              <wp:simplePos x="0" y="0"/>
              <wp:positionH relativeFrom="column">
                <wp:posOffset>-765810</wp:posOffset>
              </wp:positionH>
              <wp:positionV relativeFrom="paragraph">
                <wp:posOffset>-404495</wp:posOffset>
              </wp:positionV>
              <wp:extent cx="6806663" cy="811530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6663" cy="811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42266F" w14:textId="77777777" w:rsidR="00144508" w:rsidRDefault="00144508" w:rsidP="00144508">
                          <w:pPr>
                            <w:spacing w:before="27"/>
                            <w:rPr>
                              <w:sz w:val="32"/>
                            </w:rPr>
                          </w:pPr>
                        </w:p>
                        <w:p w14:paraId="0AC94153" w14:textId="77777777" w:rsidR="00144508" w:rsidRDefault="00144508" w:rsidP="00144508">
                          <w:pPr>
                            <w:spacing w:before="1"/>
                            <w:ind w:left="1135"/>
                            <w:rPr>
                              <w:rFonts w:ascii="Arial"/>
                              <w:b/>
                              <w:sz w:val="3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z w:val="32"/>
                            </w:rPr>
                            <w:t>Cambridge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32"/>
                            </w:rPr>
                            <w:t>IGCSE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position w:val="10"/>
                              <w:sz w:val="21"/>
                            </w:rPr>
                            <w:t>TM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22"/>
                              <w:position w:val="10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32"/>
                            </w:rPr>
                            <w:t>and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32"/>
                            </w:rPr>
                            <w:t>O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z w:val="32"/>
                            </w:rPr>
                            <w:t>Level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2"/>
                              <w:sz w:val="32"/>
                            </w:rPr>
                            <w:t>Accounting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81FAC1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left:0;text-align:left;margin-left:-60.3pt;margin-top:-31.85pt;width:535.95pt;height:63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" filled="f" stroked="f">
              <v:textbox inset="0,0,0,0">
                <w:txbxContent>
                  <w:p w14:paraId="3E42266F" w14:textId="77777777" w:rsidR="00144508" w:rsidRDefault="00144508" w:rsidP="00144508">
                    <w:pPr>
                      <w:spacing w:before="27"/>
                      <w:rPr>
                        <w:sz w:val="32"/>
                      </w:rPr>
                    </w:pPr>
                  </w:p>
                  <w:p w14:paraId="0AC94153" w14:textId="77777777" w:rsidR="00144508" w:rsidRDefault="00144508" w:rsidP="00144508">
                    <w:pPr>
                      <w:spacing w:before="1"/>
                      <w:ind w:left="1135"/>
                      <w:rPr>
                        <w:rFonts w:ascii="Arial"/>
                        <w:b/>
                        <w:sz w:val="32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32"/>
                      </w:rPr>
                      <w:t>Cambridge</w:t>
                    </w:r>
                    <w:r>
                      <w:rPr>
                        <w:rFonts w:ascii="Arial"/>
                        <w:b/>
                        <w:color w:val="FFFFFF"/>
                        <w:spacing w:val="-8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32"/>
                      </w:rPr>
                      <w:t>IGCSE</w:t>
                    </w:r>
                    <w:r>
                      <w:rPr>
                        <w:rFonts w:ascii="Arial"/>
                        <w:b/>
                        <w:color w:val="FFFFFF"/>
                        <w:position w:val="10"/>
                        <w:sz w:val="21"/>
                      </w:rPr>
                      <w:t>TM</w:t>
                    </w:r>
                    <w:r>
                      <w:rPr>
                        <w:rFonts w:ascii="Arial"/>
                        <w:b/>
                        <w:color w:val="FFFFFF"/>
                        <w:spacing w:val="22"/>
                        <w:position w:val="10"/>
                        <w:sz w:val="21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32"/>
                      </w:rPr>
                      <w:t>and</w:t>
                    </w:r>
                    <w:r>
                      <w:rPr>
                        <w:rFonts w:ascii="Arial"/>
                        <w:b/>
                        <w:color w:val="FFFFFF"/>
                        <w:spacing w:val="-10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32"/>
                      </w:rPr>
                      <w:t>O</w:t>
                    </w:r>
                    <w:r>
                      <w:rPr>
                        <w:rFonts w:ascii="Arial"/>
                        <w:b/>
                        <w:color w:val="FFFFFF"/>
                        <w:spacing w:val="-8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32"/>
                      </w:rPr>
                      <w:t>Level</w:t>
                    </w:r>
                    <w:r>
                      <w:rPr>
                        <w:rFonts w:ascii="Arial"/>
                        <w:b/>
                        <w:color w:val="FFFFFF"/>
                        <w:spacing w:val="-6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pacing w:val="-2"/>
                        <w:sz w:val="32"/>
                      </w:rPr>
                      <w:t>Accounting</w:t>
                    </w:r>
                  </w:p>
                </w:txbxContent>
              </v:textbox>
            </v:shape>
          </w:pict>
        </mc:Fallback>
      </mc:AlternateContent>
    </w:r>
    <w:r w:rsidR="00146975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71BD3D3" wp14:editId="1C51EC6C">
          <wp:simplePos x="0" y="0"/>
          <wp:positionH relativeFrom="column">
            <wp:posOffset>-1085850</wp:posOffset>
          </wp:positionH>
          <wp:positionV relativeFrom="paragraph">
            <wp:posOffset>-255270</wp:posOffset>
          </wp:positionV>
          <wp:extent cx="6806538" cy="659710"/>
          <wp:effectExtent l="0" t="0" r="0" b="0"/>
          <wp:wrapNone/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06538" cy="659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07FF9">
      <w:t xml:space="preserve">Cambridge </w:t>
    </w:r>
    <w:r w:rsidR="00F07FF9" w:rsidRPr="00775D68">
      <w:t>IGCSE</w:t>
    </w:r>
    <w:r w:rsidR="00F07FF9" w:rsidRPr="00447D64">
      <w:rPr>
        <w:vertAlign w:val="superscript"/>
      </w:rPr>
      <w:t>®</w:t>
    </w:r>
    <w:r w:rsidR="00F07FF9">
      <w:t xml:space="preserve"> and O Level </w:t>
    </w:r>
    <w:r w:rsidR="0076042C">
      <w:t>Accounting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576DE"/>
    <w:multiLevelType w:val="hybridMultilevel"/>
    <w:tmpl w:val="84EAA36C"/>
    <w:lvl w:ilvl="0" w:tplc="48881046">
      <w:start w:val="1"/>
      <w:numFmt w:val="bullet"/>
      <w:pStyle w:val="UL01"/>
      <w:lvlText w:val=""/>
      <w:lvlJc w:val="left"/>
      <w:pPr>
        <w:ind w:left="357" w:hanging="357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67E87"/>
    <w:multiLevelType w:val="hybridMultilevel"/>
    <w:tmpl w:val="747AF2FE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F70BB"/>
    <w:multiLevelType w:val="multilevel"/>
    <w:tmpl w:val="95D0F6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A3610"/>
    <w:multiLevelType w:val="hybridMultilevel"/>
    <w:tmpl w:val="2BAE1D44"/>
    <w:lvl w:ilvl="0" w:tplc="715A26C2">
      <w:start w:val="1"/>
      <w:numFmt w:val="bullet"/>
      <w:pStyle w:val="USL01"/>
      <w:lvlText w:val=""/>
      <w:lvlJc w:val="left"/>
      <w:pPr>
        <w:ind w:left="714" w:hanging="357"/>
      </w:pPr>
      <w:rPr>
        <w:rFonts w:ascii="Symbol" w:hAnsi="Symbol" w:hint="default"/>
        <w:color w:val="007EC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072223"/>
    <w:multiLevelType w:val="hybridMultilevel"/>
    <w:tmpl w:val="8062D34E"/>
    <w:lvl w:ilvl="0" w:tplc="D32A7EEC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96B9F"/>
    <w:multiLevelType w:val="hybridMultilevel"/>
    <w:tmpl w:val="1930A9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D76D64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E181151"/>
    <w:multiLevelType w:val="hybridMultilevel"/>
    <w:tmpl w:val="1B76CA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9806B7"/>
    <w:multiLevelType w:val="hybridMultilevel"/>
    <w:tmpl w:val="A8007A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A175F4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6586EBE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1"/>
  </w:num>
  <w:num w:numId="5">
    <w:abstractNumId w:val="3"/>
  </w:num>
  <w:num w:numId="6">
    <w:abstractNumId w:val="1"/>
  </w:num>
  <w:num w:numId="7">
    <w:abstractNumId w:val="3"/>
  </w:num>
  <w:num w:numId="8">
    <w:abstractNumId w:val="0"/>
  </w:num>
  <w:num w:numId="9">
    <w:abstractNumId w:val="0"/>
  </w:num>
  <w:num w:numId="10">
    <w:abstractNumId w:val="3"/>
  </w:num>
  <w:num w:numId="11">
    <w:abstractNumId w:val="4"/>
  </w:num>
  <w:num w:numId="12">
    <w:abstractNumId w:val="1"/>
  </w:num>
  <w:num w:numId="13">
    <w:abstractNumId w:val="0"/>
  </w:num>
  <w:num w:numId="14">
    <w:abstractNumId w:val="3"/>
  </w:num>
  <w:num w:numId="15">
    <w:abstractNumId w:val="4"/>
  </w:num>
  <w:num w:numId="16">
    <w:abstractNumId w:val="6"/>
  </w:num>
  <w:num w:numId="17">
    <w:abstractNumId w:val="10"/>
  </w:num>
  <w:num w:numId="18">
    <w:abstractNumId w:val="9"/>
  </w:num>
  <w:num w:numId="19">
    <w:abstractNumId w:val="2"/>
  </w:num>
  <w:num w:numId="20">
    <w:abstractNumId w:val="8"/>
  </w:num>
  <w:num w:numId="21">
    <w:abstractNumId w:val="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8B"/>
    <w:rsid w:val="000224CB"/>
    <w:rsid w:val="000259F8"/>
    <w:rsid w:val="00047BD6"/>
    <w:rsid w:val="00053D74"/>
    <w:rsid w:val="00064FE2"/>
    <w:rsid w:val="00065433"/>
    <w:rsid w:val="000829D1"/>
    <w:rsid w:val="00084660"/>
    <w:rsid w:val="000C2822"/>
    <w:rsid w:val="00116F97"/>
    <w:rsid w:val="00144274"/>
    <w:rsid w:val="00144508"/>
    <w:rsid w:val="00146975"/>
    <w:rsid w:val="0016716B"/>
    <w:rsid w:val="001A5C25"/>
    <w:rsid w:val="001B6023"/>
    <w:rsid w:val="001C6A26"/>
    <w:rsid w:val="001D35AD"/>
    <w:rsid w:val="001D7FB6"/>
    <w:rsid w:val="001F2961"/>
    <w:rsid w:val="00203D2C"/>
    <w:rsid w:val="00236B65"/>
    <w:rsid w:val="00246F7D"/>
    <w:rsid w:val="002973E0"/>
    <w:rsid w:val="002C05BB"/>
    <w:rsid w:val="00312EA2"/>
    <w:rsid w:val="0032217C"/>
    <w:rsid w:val="003447DC"/>
    <w:rsid w:val="0035469A"/>
    <w:rsid w:val="00372708"/>
    <w:rsid w:val="00374624"/>
    <w:rsid w:val="003904EE"/>
    <w:rsid w:val="00393682"/>
    <w:rsid w:val="00394076"/>
    <w:rsid w:val="003B2E94"/>
    <w:rsid w:val="003D28F4"/>
    <w:rsid w:val="00447AAE"/>
    <w:rsid w:val="00454F5C"/>
    <w:rsid w:val="00456257"/>
    <w:rsid w:val="00466124"/>
    <w:rsid w:val="0046648F"/>
    <w:rsid w:val="004A1D80"/>
    <w:rsid w:val="004A45E0"/>
    <w:rsid w:val="004D4098"/>
    <w:rsid w:val="004D5B76"/>
    <w:rsid w:val="004F049A"/>
    <w:rsid w:val="004F2F25"/>
    <w:rsid w:val="004F7382"/>
    <w:rsid w:val="005269F3"/>
    <w:rsid w:val="00544648"/>
    <w:rsid w:val="00545629"/>
    <w:rsid w:val="005A2BA0"/>
    <w:rsid w:val="00604A15"/>
    <w:rsid w:val="00605B57"/>
    <w:rsid w:val="006068BB"/>
    <w:rsid w:val="00615BAF"/>
    <w:rsid w:val="00636906"/>
    <w:rsid w:val="00647BA4"/>
    <w:rsid w:val="00651689"/>
    <w:rsid w:val="006A3CB9"/>
    <w:rsid w:val="006A70CD"/>
    <w:rsid w:val="006C528B"/>
    <w:rsid w:val="006E06E7"/>
    <w:rsid w:val="00717D34"/>
    <w:rsid w:val="0073174C"/>
    <w:rsid w:val="00732617"/>
    <w:rsid w:val="0076042C"/>
    <w:rsid w:val="00775E91"/>
    <w:rsid w:val="007835A2"/>
    <w:rsid w:val="007B2F70"/>
    <w:rsid w:val="007D2E0B"/>
    <w:rsid w:val="007F465E"/>
    <w:rsid w:val="008773C0"/>
    <w:rsid w:val="008C4F76"/>
    <w:rsid w:val="008F17ED"/>
    <w:rsid w:val="008F6423"/>
    <w:rsid w:val="00940DCD"/>
    <w:rsid w:val="009A3259"/>
    <w:rsid w:val="009A44DD"/>
    <w:rsid w:val="009D543C"/>
    <w:rsid w:val="009D6D4A"/>
    <w:rsid w:val="009E1D6E"/>
    <w:rsid w:val="009F638F"/>
    <w:rsid w:val="00A247D8"/>
    <w:rsid w:val="00A702C7"/>
    <w:rsid w:val="00AA1BE6"/>
    <w:rsid w:val="00AC1B70"/>
    <w:rsid w:val="00AD00E7"/>
    <w:rsid w:val="00AF026C"/>
    <w:rsid w:val="00B351EC"/>
    <w:rsid w:val="00B35801"/>
    <w:rsid w:val="00B4560D"/>
    <w:rsid w:val="00B73CAD"/>
    <w:rsid w:val="00BA6CBC"/>
    <w:rsid w:val="00BC0220"/>
    <w:rsid w:val="00BC0A4F"/>
    <w:rsid w:val="00BD01CA"/>
    <w:rsid w:val="00C279A8"/>
    <w:rsid w:val="00C6372F"/>
    <w:rsid w:val="00C740DF"/>
    <w:rsid w:val="00C775CA"/>
    <w:rsid w:val="00C87B84"/>
    <w:rsid w:val="00CC42D8"/>
    <w:rsid w:val="00D17387"/>
    <w:rsid w:val="00D22A4E"/>
    <w:rsid w:val="00D3354F"/>
    <w:rsid w:val="00D40811"/>
    <w:rsid w:val="00DB346D"/>
    <w:rsid w:val="00DB60D8"/>
    <w:rsid w:val="00DF27BE"/>
    <w:rsid w:val="00DF4786"/>
    <w:rsid w:val="00DF56F1"/>
    <w:rsid w:val="00E36EDD"/>
    <w:rsid w:val="00E62550"/>
    <w:rsid w:val="00E777BA"/>
    <w:rsid w:val="00E8497F"/>
    <w:rsid w:val="00E97F78"/>
    <w:rsid w:val="00EC3DA4"/>
    <w:rsid w:val="00EC76A7"/>
    <w:rsid w:val="00ED7310"/>
    <w:rsid w:val="00ED73DA"/>
    <w:rsid w:val="00EE324E"/>
    <w:rsid w:val="00EE44F9"/>
    <w:rsid w:val="00EE633B"/>
    <w:rsid w:val="00EF6666"/>
    <w:rsid w:val="00EF740E"/>
    <w:rsid w:val="00F02709"/>
    <w:rsid w:val="00F07FF9"/>
    <w:rsid w:val="00F30576"/>
    <w:rsid w:val="00F37022"/>
    <w:rsid w:val="00FF3B13"/>
    <w:rsid w:val="533CF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B34D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2D8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2Subhead">
    <w:name w:val="H02_Subhead"/>
    <w:basedOn w:val="Normal"/>
    <w:qFormat/>
    <w:rsid w:val="00CC42D8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CAP01Caption1">
    <w:name w:val="CAP01_Caption_1"/>
    <w:basedOn w:val="Normal"/>
    <w:qFormat/>
    <w:rsid w:val="00CC42D8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CTB01BT01Bodytext1">
    <w:name w:val="CTB01_BT01_Body_text_1"/>
    <w:basedOn w:val="Normal"/>
    <w:qFormat/>
    <w:rsid w:val="00CC42D8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CTB01TBATableAhead">
    <w:name w:val="CTB01_TBA_Table_A_head"/>
    <w:basedOn w:val="Normal"/>
    <w:qFormat/>
    <w:rsid w:val="00CC42D8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EXT01Extract1">
    <w:name w:val="EXT01_Extract_1"/>
    <w:basedOn w:val="Normal"/>
    <w:qFormat/>
    <w:rsid w:val="00CC42D8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2D8"/>
    <w:rPr>
      <w:sz w:val="22"/>
      <w:szCs w:val="22"/>
      <w:lang w:val="en-GB"/>
    </w:rPr>
  </w:style>
  <w:style w:type="paragraph" w:customStyle="1" w:styleId="H01Mainhead1">
    <w:name w:val="H01_Main_head_1"/>
    <w:basedOn w:val="Normal"/>
    <w:next w:val="Normal"/>
    <w:uiPriority w:val="99"/>
    <w:rsid w:val="000224CB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007EC3"/>
      <w:sz w:val="48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224CB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360" w:after="240"/>
      <w:textAlignment w:val="center"/>
    </w:pPr>
    <w:rPr>
      <w:rFonts w:ascii="Tahoma" w:eastAsiaTheme="minorEastAsia" w:hAnsi="Tahoma" w:cs="Tahoma"/>
      <w:color w:val="007EC3"/>
      <w:sz w:val="36"/>
      <w:szCs w:val="4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2D8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42D8"/>
    <w:pPr>
      <w:ind w:left="720"/>
      <w:contextualSpacing/>
    </w:pPr>
  </w:style>
  <w:style w:type="paragraph" w:customStyle="1" w:styleId="OL01Orderedlist1">
    <w:name w:val="OL01_Ordered_list_1"/>
    <w:basedOn w:val="Normal"/>
    <w:qFormat/>
    <w:rsid w:val="00CC42D8"/>
    <w:pPr>
      <w:spacing w:after="60" w:line="240" w:lineRule="auto"/>
      <w:ind w:left="340" w:hanging="340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CC42D8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CC42D8"/>
    <w:pPr>
      <w:ind w:firstLine="0"/>
    </w:pPr>
  </w:style>
  <w:style w:type="paragraph" w:customStyle="1" w:styleId="OSL01Orderedsublist1mrgOL01">
    <w:name w:val="OSL01_Ordered_sublist_1_mrgOL01"/>
    <w:basedOn w:val="Normal"/>
    <w:qFormat/>
    <w:rsid w:val="00CC42D8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p1">
    <w:name w:val="p1"/>
    <w:basedOn w:val="Normal"/>
    <w:rsid w:val="00CC42D8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styleId="PageNumber">
    <w:name w:val="page number"/>
    <w:basedOn w:val="DefaultParagraphFont"/>
    <w:uiPriority w:val="99"/>
    <w:unhideWhenUsed/>
    <w:rsid w:val="000224CB"/>
    <w:rPr>
      <w:color w:val="007EC3"/>
    </w:rPr>
  </w:style>
  <w:style w:type="character" w:customStyle="1" w:styleId="s1">
    <w:name w:val="s1"/>
    <w:basedOn w:val="DefaultParagraphFont"/>
    <w:rsid w:val="00CC42D8"/>
    <w:rPr>
      <w:rFonts w:ascii="Helvetica" w:hAnsi="Helvetica" w:hint="default"/>
      <w:color w:val="FFFFFF"/>
      <w:sz w:val="13"/>
      <w:szCs w:val="13"/>
    </w:rPr>
  </w:style>
  <w:style w:type="paragraph" w:customStyle="1" w:styleId="SRC01Source1">
    <w:name w:val="SRC01_Source_1"/>
    <w:basedOn w:val="Normal"/>
    <w:qFormat/>
    <w:rsid w:val="00CC42D8"/>
    <w:pPr>
      <w:spacing w:after="60" w:line="240" w:lineRule="auto"/>
    </w:pPr>
    <w:rPr>
      <w:i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CC42D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SL01">
    <w:name w:val="USSL01"/>
    <w:basedOn w:val="ListParagraph"/>
    <w:qFormat/>
    <w:rsid w:val="000224CB"/>
    <w:pPr>
      <w:numPr>
        <w:numId w:val="15"/>
      </w:numPr>
      <w:tabs>
        <w:tab w:val="left" w:pos="1701"/>
      </w:tabs>
      <w:spacing w:after="60" w:line="240" w:lineRule="auto"/>
    </w:pPr>
    <w:rPr>
      <w:rFonts w:ascii="Times New Roman" w:hAnsi="Times New Roman"/>
      <w:lang w:val="en-US"/>
    </w:rPr>
  </w:style>
  <w:style w:type="character" w:customStyle="1" w:styleId="Boldnumber">
    <w:name w:val="Bold number"/>
    <w:basedOn w:val="DefaultParagraphFont"/>
    <w:uiPriority w:val="1"/>
    <w:qFormat/>
    <w:rsid w:val="000224CB"/>
    <w:rPr>
      <w:rFonts w:asciiTheme="minorHAnsi" w:hAnsiTheme="minorHAnsi"/>
      <w:b/>
      <w:color w:val="007EC3"/>
    </w:rPr>
  </w:style>
  <w:style w:type="paragraph" w:customStyle="1" w:styleId="OSSL01OrderedSubsublist">
    <w:name w:val="OSSL01_Ordered Sub_sublist"/>
    <w:basedOn w:val="Normal"/>
    <w:qFormat/>
    <w:rsid w:val="00CC42D8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HBhead">
    <w:name w:val="HB_head"/>
    <w:basedOn w:val="Normal"/>
    <w:next w:val="Normal"/>
    <w:uiPriority w:val="99"/>
    <w:rsid w:val="00CC42D8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RFRRunningfootrecto">
    <w:name w:val="RFR_Running_foot_recto"/>
    <w:basedOn w:val="Normal"/>
    <w:uiPriority w:val="99"/>
    <w:rsid w:val="00CC42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CC42D8"/>
    <w:rPr>
      <w:rFonts w:asciiTheme="minorHAnsi" w:hAnsiTheme="minorHAnsi"/>
      <w:b/>
      <w:color w:val="7F7F7F" w:themeColor="text1" w:themeTint="80"/>
    </w:rPr>
  </w:style>
  <w:style w:type="paragraph" w:customStyle="1" w:styleId="BT01Bodytext1">
    <w:name w:val="BT01_Body_text_1"/>
    <w:basedOn w:val="Normal"/>
    <w:qFormat/>
    <w:rsid w:val="00CC42D8"/>
    <w:pPr>
      <w:spacing w:after="120" w:line="240" w:lineRule="auto"/>
    </w:pPr>
    <w:rPr>
      <w:rFonts w:ascii="Times New Roman" w:hAnsi="Times New Roman"/>
      <w:lang w:val="en-US"/>
    </w:rPr>
  </w:style>
  <w:style w:type="paragraph" w:customStyle="1" w:styleId="ACKacknowledgement">
    <w:name w:val="ACK_acknowledgement"/>
    <w:basedOn w:val="BT01Bodytext1"/>
    <w:qFormat/>
    <w:rsid w:val="00CC42D8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CC42D8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CC42D8"/>
    <w:pPr>
      <w:numPr>
        <w:numId w:val="12"/>
      </w:numPr>
    </w:pPr>
  </w:style>
  <w:style w:type="paragraph" w:customStyle="1" w:styleId="OL01Cont">
    <w:name w:val="OL01_Cont"/>
    <w:basedOn w:val="OL01Orderedlist1"/>
    <w:qFormat/>
    <w:rsid w:val="00CC42D8"/>
    <w:pPr>
      <w:ind w:left="680"/>
    </w:pPr>
    <w:rPr>
      <w:lang w:bidi="en-US"/>
    </w:rPr>
  </w:style>
  <w:style w:type="paragraph" w:customStyle="1" w:styleId="OSSL01Orderedsubsublistmerge">
    <w:name w:val="OSSL01_Ordered_sub_sublist_merge"/>
    <w:basedOn w:val="OSL01Orderedsublist1mrgOL01"/>
    <w:qFormat/>
    <w:rsid w:val="00CC42D8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CC42D8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224CB"/>
    <w:pPr>
      <w:numPr>
        <w:numId w:val="13"/>
      </w:numPr>
      <w:spacing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224CB"/>
    <w:pPr>
      <w:numPr>
        <w:numId w:val="14"/>
      </w:numPr>
    </w:pPr>
  </w:style>
  <w:style w:type="paragraph" w:customStyle="1" w:styleId="HChead">
    <w:name w:val="HC_head"/>
    <w:basedOn w:val="HBhead"/>
    <w:qFormat/>
    <w:rsid w:val="008773C0"/>
    <w:rPr>
      <w:b/>
      <w:color w:val="000000" w:themeColor="text1"/>
    </w:rPr>
  </w:style>
  <w:style w:type="numbering" w:customStyle="1" w:styleId="CurrentList1">
    <w:name w:val="Current List1"/>
    <w:uiPriority w:val="99"/>
    <w:rsid w:val="000224CB"/>
    <w:pPr>
      <w:numPr>
        <w:numId w:val="16"/>
      </w:numPr>
    </w:pPr>
  </w:style>
  <w:style w:type="numbering" w:customStyle="1" w:styleId="CurrentList2">
    <w:name w:val="Current List2"/>
    <w:uiPriority w:val="99"/>
    <w:rsid w:val="000224CB"/>
    <w:pPr>
      <w:numPr>
        <w:numId w:val="17"/>
      </w:numPr>
    </w:pPr>
  </w:style>
  <w:style w:type="numbering" w:customStyle="1" w:styleId="CurrentList3">
    <w:name w:val="Current List3"/>
    <w:uiPriority w:val="99"/>
    <w:rsid w:val="000224CB"/>
    <w:pPr>
      <w:numPr>
        <w:numId w:val="18"/>
      </w:numPr>
    </w:pPr>
  </w:style>
  <w:style w:type="paragraph" w:customStyle="1" w:styleId="Answerline">
    <w:name w:val="Answer line"/>
    <w:basedOn w:val="OL01Cont"/>
    <w:autoRedefine/>
    <w:qFormat/>
    <w:rsid w:val="004D5B76"/>
    <w:pPr>
      <w:tabs>
        <w:tab w:val="left" w:pos="8787"/>
      </w:tabs>
      <w:spacing w:after="120" w:line="276" w:lineRule="auto"/>
      <w:ind w:left="357" w:firstLine="0"/>
    </w:pPr>
    <w:rPr>
      <w:u w:val="dotted"/>
    </w:rPr>
  </w:style>
  <w:style w:type="paragraph" w:styleId="Revision">
    <w:name w:val="Revision"/>
    <w:hidden/>
    <w:uiPriority w:val="99"/>
    <w:semiHidden/>
    <w:rsid w:val="00B73CAD"/>
    <w:rPr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9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ABA9D992-3A5E-4469-AF04-A0BE6862FF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95DD64-2BF6-478F-9636-DF2B32C8B620}"/>
</file>

<file path=customXml/itemProps3.xml><?xml version="1.0" encoding="utf-8"?>
<ds:datastoreItem xmlns:ds="http://schemas.openxmlformats.org/officeDocument/2006/customXml" ds:itemID="{558C0A90-67BF-4E0C-9417-078255193016}"/>
</file>

<file path=customXml/itemProps4.xml><?xml version="1.0" encoding="utf-8"?>
<ds:datastoreItem xmlns:ds="http://schemas.openxmlformats.org/officeDocument/2006/customXml" ds:itemID="{5CD4D22E-9A9D-467E-A590-467FC41971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489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Katie Frederick</cp:lastModifiedBy>
  <cp:revision>3</cp:revision>
  <dcterms:created xsi:type="dcterms:W3CDTF">2025-03-20T16:27:00Z</dcterms:created>
  <dcterms:modified xsi:type="dcterms:W3CDTF">2025-03-31T12:41:00Z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